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465" w:rsidRPr="00FD1427" w:rsidRDefault="00FD1427" w:rsidP="00FD1427">
      <w:pPr>
        <w:pStyle w:val="L1-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left"/>
        <w:rPr>
          <w:b/>
          <w:bCs/>
          <w:sz w:val="28"/>
          <w:szCs w:val="28"/>
        </w:rPr>
      </w:pPr>
      <w:r w:rsidRPr="00FD1427">
        <w:rPr>
          <w:b/>
          <w:sz w:val="28"/>
          <w:szCs w:val="28"/>
          <w:lang w:val="en-CA"/>
        </w:rPr>
        <w:t>8.</w:t>
      </w:r>
      <w:r w:rsidR="003300AF">
        <w:rPr>
          <w:b/>
          <w:sz w:val="28"/>
          <w:szCs w:val="28"/>
          <w:lang w:val="en-CA"/>
        </w:rPr>
        <w:t>3</w:t>
      </w:r>
      <w:r w:rsidRPr="00FD1427">
        <w:rPr>
          <w:b/>
          <w:sz w:val="28"/>
          <w:szCs w:val="28"/>
          <w:lang w:val="en-CA"/>
        </w:rPr>
        <w:t xml:space="preserve">3. </w:t>
      </w:r>
      <w:r w:rsidR="00E50465" w:rsidRPr="00FD1427">
        <w:rPr>
          <w:b/>
          <w:sz w:val="28"/>
          <w:szCs w:val="28"/>
          <w:lang w:val="en-CA"/>
        </w:rPr>
        <w:fldChar w:fldCharType="begin"/>
      </w:r>
      <w:r w:rsidR="00E50465" w:rsidRPr="00FD1427">
        <w:rPr>
          <w:b/>
          <w:sz w:val="28"/>
          <w:szCs w:val="28"/>
          <w:lang w:val="en-CA"/>
        </w:rPr>
        <w:instrText xml:space="preserve"> SEQ CHAPTER \h \r 1</w:instrText>
      </w:r>
      <w:r w:rsidR="00E50465" w:rsidRPr="00FD1427">
        <w:rPr>
          <w:b/>
          <w:sz w:val="28"/>
          <w:szCs w:val="28"/>
          <w:lang w:val="en-CA"/>
        </w:rPr>
        <w:fldChar w:fldCharType="end"/>
      </w:r>
      <w:r w:rsidR="00E50465" w:rsidRPr="00FD1427">
        <w:rPr>
          <w:b/>
          <w:bCs/>
          <w:sz w:val="28"/>
          <w:szCs w:val="28"/>
        </w:rPr>
        <w:t>Prior Inconsistent Statement</w:t>
      </w:r>
    </w:p>
    <w:p w:rsidR="00E50465" w:rsidRPr="00FD1427" w:rsidRDefault="00E50465" w:rsidP="00FD1427">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b/>
          <w:sz w:val="28"/>
          <w:szCs w:val="28"/>
        </w:rPr>
      </w:pPr>
    </w:p>
    <w:p w:rsidR="00682592" w:rsidRPr="00FD1427" w:rsidRDefault="00E50465" w:rsidP="00FD1427">
      <w:pPr>
        <w:pStyle w:val="NoSpacing"/>
        <w:widowControl/>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198"/>
        </w:tabs>
        <w:ind w:left="576" w:right="720"/>
        <w:rPr>
          <w:rFonts w:ascii="Times New Roman" w:hAnsi="Times New Roman" w:cs="Times New Roman"/>
          <w:b/>
          <w:sz w:val="28"/>
          <w:szCs w:val="28"/>
        </w:rPr>
      </w:pPr>
      <w:bookmarkStart w:id="0" w:name="_GoBack"/>
      <w:bookmarkEnd w:id="0"/>
      <w:r w:rsidRPr="00FD1427">
        <w:rPr>
          <w:rFonts w:ascii="Times New Roman" w:hAnsi="Times New Roman" w:cs="Times New Roman"/>
          <w:b/>
          <w:sz w:val="28"/>
          <w:szCs w:val="28"/>
        </w:rPr>
        <w:t xml:space="preserve">(1) Civil Proceeding. If a witness testifies at a proceeding and is subject to cross-examination concerning a statement made by the witness prior to the proceeding, the statement is admissible if the statement is inconsistent with the witness’s testimony and the statement contains sufficient indicia of reliability justifying its admissibility. </w:t>
      </w:r>
    </w:p>
    <w:p w:rsidR="00FD1427" w:rsidRDefault="00FD1427" w:rsidP="00FD1427">
      <w:pPr>
        <w:pStyle w:val="NoSpacing"/>
        <w:widowControl/>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198"/>
        </w:tabs>
        <w:ind w:left="576" w:right="720"/>
        <w:rPr>
          <w:rFonts w:ascii="Times New Roman" w:hAnsi="Times New Roman" w:cs="Times New Roman"/>
          <w:b/>
          <w:sz w:val="28"/>
          <w:szCs w:val="28"/>
        </w:rPr>
      </w:pPr>
    </w:p>
    <w:p w:rsidR="00E50465" w:rsidRDefault="00E50465" w:rsidP="00FD1427">
      <w:pPr>
        <w:pStyle w:val="NoSpacing"/>
        <w:widowControl/>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198"/>
        </w:tabs>
        <w:ind w:left="576" w:right="720"/>
        <w:rPr>
          <w:rFonts w:ascii="Times New Roman" w:hAnsi="Times New Roman" w:cs="Times New Roman"/>
          <w:b/>
          <w:sz w:val="28"/>
          <w:szCs w:val="28"/>
        </w:rPr>
      </w:pPr>
      <w:r w:rsidRPr="00FD1427">
        <w:rPr>
          <w:rFonts w:ascii="Times New Roman" w:hAnsi="Times New Roman" w:cs="Times New Roman"/>
          <w:b/>
          <w:sz w:val="28"/>
          <w:szCs w:val="28"/>
        </w:rPr>
        <w:t>(2) Criminal Proceeding. If a witness testifies at a proceeding and is subject to cross-examination concerning a statement made by the witness prior to the proceeding, the statement is admissible if the statement is inconsistent with the witness’s testimony but solely for impeachment purposes.</w:t>
      </w:r>
    </w:p>
    <w:p w:rsidR="00E50465" w:rsidRPr="00FD1427" w:rsidRDefault="00E50465" w:rsidP="00FD1427">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8"/>
          <w:szCs w:val="28"/>
        </w:rPr>
      </w:pPr>
    </w:p>
    <w:p w:rsidR="00E50465" w:rsidRPr="00FD1427" w:rsidRDefault="00E50465" w:rsidP="00FD1427">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sz w:val="24"/>
          <w:szCs w:val="24"/>
        </w:rPr>
      </w:pPr>
      <w:r w:rsidRPr="00FD1427">
        <w:rPr>
          <w:rFonts w:ascii="Times New Roman" w:hAnsi="Times New Roman" w:cs="Times New Roman"/>
          <w:b/>
          <w:sz w:val="24"/>
          <w:szCs w:val="24"/>
        </w:rPr>
        <w:t>Note</w:t>
      </w:r>
    </w:p>
    <w:p w:rsidR="00E50465" w:rsidRPr="00FD1427" w:rsidRDefault="00E50465" w:rsidP="00FD1427">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sz w:val="24"/>
          <w:szCs w:val="24"/>
        </w:rPr>
      </w:pPr>
    </w:p>
    <w:p w:rsidR="00E50465" w:rsidRPr="00FD1427" w:rsidRDefault="00E50465" w:rsidP="00FD1427">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FD1427">
        <w:rPr>
          <w:rFonts w:ascii="Times New Roman" w:hAnsi="Times New Roman" w:cs="Times New Roman"/>
          <w:sz w:val="24"/>
          <w:szCs w:val="24"/>
        </w:rPr>
        <w:tab/>
      </w:r>
      <w:r w:rsidRPr="00FD1427">
        <w:rPr>
          <w:rFonts w:ascii="Times New Roman" w:hAnsi="Times New Roman" w:cs="Times New Roman"/>
          <w:b/>
          <w:bCs/>
          <w:sz w:val="24"/>
          <w:szCs w:val="24"/>
        </w:rPr>
        <w:t xml:space="preserve">Subdivision (1) </w:t>
      </w:r>
      <w:r w:rsidRPr="00FD1427">
        <w:rPr>
          <w:rFonts w:ascii="Times New Roman" w:hAnsi="Times New Roman" w:cs="Times New Roman"/>
          <w:sz w:val="24"/>
          <w:szCs w:val="24"/>
        </w:rPr>
        <w:t>sets forth an exception for a prior inconsistent statement of a declarant where the declarant in a civil case testifies at the proceeding and is subject to cross-examination (</w:t>
      </w:r>
      <w:r w:rsidRPr="00FD1427">
        <w:rPr>
          <w:rFonts w:ascii="Times New Roman" w:hAnsi="Times New Roman" w:cs="Times New Roman"/>
          <w:i/>
          <w:iCs/>
          <w:sz w:val="24"/>
          <w:szCs w:val="24"/>
        </w:rPr>
        <w:t xml:space="preserve">see Kaufman v </w:t>
      </w:r>
      <w:proofErr w:type="spellStart"/>
      <w:r w:rsidRPr="00FD1427">
        <w:rPr>
          <w:rFonts w:ascii="Times New Roman" w:hAnsi="Times New Roman" w:cs="Times New Roman"/>
          <w:i/>
          <w:iCs/>
          <w:sz w:val="24"/>
          <w:szCs w:val="24"/>
        </w:rPr>
        <w:t>Quickway</w:t>
      </w:r>
      <w:proofErr w:type="spellEnd"/>
      <w:r w:rsidRPr="00FD1427">
        <w:rPr>
          <w:rFonts w:ascii="Times New Roman" w:hAnsi="Times New Roman" w:cs="Times New Roman"/>
          <w:i/>
          <w:iCs/>
          <w:sz w:val="24"/>
          <w:szCs w:val="24"/>
        </w:rPr>
        <w:t>, Inc.</w:t>
      </w:r>
      <w:r w:rsidRPr="00FD1427">
        <w:rPr>
          <w:rFonts w:ascii="Times New Roman" w:hAnsi="Times New Roman" w:cs="Times New Roman"/>
          <w:sz w:val="24"/>
          <w:szCs w:val="24"/>
        </w:rPr>
        <w:t xml:space="preserve">, 14 NY3d 907, 908 [2010] [“hearsay exception for prior inconsistent statements”]). As derived from </w:t>
      </w:r>
      <w:r w:rsidRPr="00FD1427">
        <w:rPr>
          <w:rFonts w:ascii="Times New Roman" w:hAnsi="Times New Roman" w:cs="Times New Roman"/>
          <w:i/>
          <w:iCs/>
          <w:sz w:val="24"/>
          <w:szCs w:val="24"/>
        </w:rPr>
        <w:t>Kaufman</w:t>
      </w:r>
      <w:r w:rsidRPr="00FD1427">
        <w:rPr>
          <w:rFonts w:ascii="Times New Roman" w:hAnsi="Times New Roman" w:cs="Times New Roman"/>
          <w:sz w:val="24"/>
          <w:szCs w:val="24"/>
        </w:rPr>
        <w:t xml:space="preserve"> (14 NY3d at 908), </w:t>
      </w:r>
      <w:r w:rsidRPr="00FD1427">
        <w:rPr>
          <w:rFonts w:ascii="Times New Roman" w:hAnsi="Times New Roman" w:cs="Times New Roman"/>
          <w:i/>
          <w:iCs/>
          <w:sz w:val="24"/>
          <w:szCs w:val="24"/>
        </w:rPr>
        <w:t>Nucci v Proper</w:t>
      </w:r>
      <w:r w:rsidRPr="00FD1427">
        <w:rPr>
          <w:rFonts w:ascii="Times New Roman" w:hAnsi="Times New Roman" w:cs="Times New Roman"/>
          <w:sz w:val="24"/>
          <w:szCs w:val="24"/>
        </w:rPr>
        <w:t xml:space="preserve"> (95 NY2d 597, 602-603 [2001]), and </w:t>
      </w:r>
      <w:proofErr w:type="spellStart"/>
      <w:r w:rsidRPr="00FD1427">
        <w:rPr>
          <w:rFonts w:ascii="Times New Roman" w:hAnsi="Times New Roman" w:cs="Times New Roman"/>
          <w:i/>
          <w:iCs/>
          <w:sz w:val="24"/>
          <w:szCs w:val="24"/>
        </w:rPr>
        <w:t>Letendre</w:t>
      </w:r>
      <w:proofErr w:type="spellEnd"/>
      <w:r w:rsidRPr="00FD1427">
        <w:rPr>
          <w:rFonts w:ascii="Times New Roman" w:hAnsi="Times New Roman" w:cs="Times New Roman"/>
          <w:i/>
          <w:iCs/>
          <w:sz w:val="24"/>
          <w:szCs w:val="24"/>
        </w:rPr>
        <w:t xml:space="preserve"> v Hartford Acc. &amp; </w:t>
      </w:r>
      <w:proofErr w:type="spellStart"/>
      <w:r w:rsidRPr="00FD1427">
        <w:rPr>
          <w:rFonts w:ascii="Times New Roman" w:hAnsi="Times New Roman" w:cs="Times New Roman"/>
          <w:i/>
          <w:iCs/>
          <w:sz w:val="24"/>
          <w:szCs w:val="24"/>
        </w:rPr>
        <w:t>Indem</w:t>
      </w:r>
      <w:proofErr w:type="spellEnd"/>
      <w:r w:rsidRPr="00FD1427">
        <w:rPr>
          <w:rFonts w:ascii="Times New Roman" w:hAnsi="Times New Roman" w:cs="Times New Roman"/>
          <w:i/>
          <w:iCs/>
          <w:sz w:val="24"/>
          <w:szCs w:val="24"/>
        </w:rPr>
        <w:t>. Co.</w:t>
      </w:r>
      <w:r w:rsidRPr="00FD1427">
        <w:rPr>
          <w:rFonts w:ascii="Times New Roman" w:hAnsi="Times New Roman" w:cs="Times New Roman"/>
          <w:sz w:val="24"/>
          <w:szCs w:val="24"/>
        </w:rPr>
        <w:t xml:space="preserve"> (21 NY2d 518, 524 [1968]), the statement must possess sufficient indicia of reliability to justify its admission. In </w:t>
      </w:r>
      <w:r w:rsidRPr="00FD1427">
        <w:rPr>
          <w:rFonts w:ascii="Times New Roman" w:hAnsi="Times New Roman" w:cs="Times New Roman"/>
          <w:i/>
          <w:iCs/>
          <w:sz w:val="24"/>
          <w:szCs w:val="24"/>
        </w:rPr>
        <w:t>Kaufman</w:t>
      </w:r>
      <w:r w:rsidRPr="00FD1427">
        <w:rPr>
          <w:rFonts w:ascii="Times New Roman" w:hAnsi="Times New Roman" w:cs="Times New Roman"/>
          <w:sz w:val="24"/>
          <w:szCs w:val="24"/>
        </w:rPr>
        <w:t xml:space="preserve">, the Court of Appeals found the statement in issue met that standard as it was in writing, made to a State Police trooper and signed under penalty of perjury (14 NY3d at 908); and in </w:t>
      </w:r>
      <w:proofErr w:type="spellStart"/>
      <w:r w:rsidRPr="00FD1427">
        <w:rPr>
          <w:rFonts w:ascii="Times New Roman" w:hAnsi="Times New Roman" w:cs="Times New Roman"/>
          <w:i/>
          <w:iCs/>
          <w:sz w:val="24"/>
          <w:szCs w:val="24"/>
        </w:rPr>
        <w:t>Letendre</w:t>
      </w:r>
      <w:proofErr w:type="spellEnd"/>
      <w:r w:rsidRPr="00FD1427">
        <w:rPr>
          <w:rFonts w:ascii="Times New Roman" w:hAnsi="Times New Roman" w:cs="Times New Roman"/>
          <w:sz w:val="24"/>
          <w:szCs w:val="24"/>
        </w:rPr>
        <w:t xml:space="preserve">, the Court found the statement to be reliable since it was in writing and had the declarant been unavailable to testify at trial, the statement would have been admissible as a declaration against interest (21 NY2d at 524). However, in </w:t>
      </w:r>
      <w:r w:rsidRPr="00FD1427">
        <w:rPr>
          <w:rFonts w:ascii="Times New Roman" w:hAnsi="Times New Roman" w:cs="Times New Roman"/>
          <w:i/>
          <w:iCs/>
          <w:sz w:val="24"/>
          <w:szCs w:val="24"/>
        </w:rPr>
        <w:t>Nucci</w:t>
      </w:r>
      <w:r w:rsidRPr="00FD1427">
        <w:rPr>
          <w:rFonts w:ascii="Times New Roman" w:hAnsi="Times New Roman" w:cs="Times New Roman"/>
          <w:sz w:val="24"/>
          <w:szCs w:val="24"/>
        </w:rPr>
        <w:t>, the statements were found to possess no indicia of reliability, as under the circumstances “a significant probability exist[</w:t>
      </w:r>
      <w:proofErr w:type="spellStart"/>
      <w:r w:rsidRPr="00FD1427">
        <w:rPr>
          <w:rFonts w:ascii="Times New Roman" w:hAnsi="Times New Roman" w:cs="Times New Roman"/>
          <w:sz w:val="24"/>
          <w:szCs w:val="24"/>
        </w:rPr>
        <w:t>ed</w:t>
      </w:r>
      <w:proofErr w:type="spellEnd"/>
      <w:r w:rsidRPr="00FD1427">
        <w:rPr>
          <w:rFonts w:ascii="Times New Roman" w:hAnsi="Times New Roman" w:cs="Times New Roman"/>
          <w:sz w:val="24"/>
          <w:szCs w:val="24"/>
        </w:rPr>
        <w:t>] that the statements may implicate the dangers of the declarant’s faulty memory or perception, insincerity, or ambiguity—traditional testimonial infirmities which the hearsay rule is designed to guard against</w:t>
      </w:r>
      <w:r w:rsidR="00FD1427">
        <w:rPr>
          <w:rFonts w:ascii="Times New Roman" w:hAnsi="Times New Roman" w:cs="Times New Roman"/>
          <w:sz w:val="24"/>
          <w:szCs w:val="24"/>
        </w:rPr>
        <w:t>”</w:t>
      </w:r>
      <w:r w:rsidRPr="00FD1427">
        <w:rPr>
          <w:rFonts w:ascii="Times New Roman" w:hAnsi="Times New Roman" w:cs="Times New Roman"/>
          <w:sz w:val="24"/>
          <w:szCs w:val="24"/>
        </w:rPr>
        <w:t xml:space="preserve"> (95 NY2d at 604).</w:t>
      </w:r>
    </w:p>
    <w:p w:rsidR="00E50465" w:rsidRPr="00FD1427" w:rsidRDefault="00E50465" w:rsidP="00FD1427">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E50465" w:rsidRPr="00FD1427" w:rsidRDefault="00E50465" w:rsidP="00FD1427">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FD1427">
        <w:rPr>
          <w:rFonts w:ascii="Times New Roman" w:hAnsi="Times New Roman" w:cs="Times New Roman"/>
          <w:sz w:val="24"/>
          <w:szCs w:val="24"/>
        </w:rPr>
        <w:tab/>
      </w:r>
      <w:r w:rsidRPr="00FD1427">
        <w:rPr>
          <w:rFonts w:ascii="Times New Roman" w:hAnsi="Times New Roman" w:cs="Times New Roman"/>
          <w:b/>
          <w:bCs/>
          <w:sz w:val="24"/>
          <w:szCs w:val="24"/>
        </w:rPr>
        <w:t>Subdivision (</w:t>
      </w:r>
      <w:r w:rsidR="00682592" w:rsidRPr="00FD1427">
        <w:rPr>
          <w:rFonts w:ascii="Times New Roman" w:hAnsi="Times New Roman" w:cs="Times New Roman"/>
          <w:b/>
          <w:bCs/>
          <w:sz w:val="24"/>
          <w:szCs w:val="24"/>
        </w:rPr>
        <w:t>2</w:t>
      </w:r>
      <w:r w:rsidRPr="00FD1427">
        <w:rPr>
          <w:rFonts w:ascii="Times New Roman" w:hAnsi="Times New Roman" w:cs="Times New Roman"/>
          <w:b/>
          <w:bCs/>
          <w:sz w:val="24"/>
          <w:szCs w:val="24"/>
        </w:rPr>
        <w:t xml:space="preserve">) </w:t>
      </w:r>
      <w:r w:rsidRPr="00FD1427">
        <w:rPr>
          <w:rFonts w:ascii="Times New Roman" w:hAnsi="Times New Roman" w:cs="Times New Roman"/>
          <w:sz w:val="24"/>
          <w:szCs w:val="24"/>
        </w:rPr>
        <w:t>sets forth the view of the Court of Appeals that a prior inconsistent statement of an adverse witness is admissible in a criminal proceeding for impeachment purposes only (</w:t>
      </w:r>
      <w:r w:rsidRPr="00FD1427">
        <w:rPr>
          <w:rFonts w:ascii="Times New Roman" w:hAnsi="Times New Roman" w:cs="Times New Roman"/>
          <w:i/>
          <w:iCs/>
          <w:sz w:val="24"/>
          <w:szCs w:val="24"/>
        </w:rPr>
        <w:t>see</w:t>
      </w:r>
      <w:r w:rsidRPr="00FD1427">
        <w:rPr>
          <w:rFonts w:ascii="Times New Roman" w:hAnsi="Times New Roman" w:cs="Times New Roman"/>
          <w:sz w:val="24"/>
          <w:szCs w:val="24"/>
        </w:rPr>
        <w:t xml:space="preserve"> </w:t>
      </w:r>
      <w:r w:rsidRPr="00FD1427">
        <w:rPr>
          <w:rFonts w:ascii="Times New Roman" w:hAnsi="Times New Roman" w:cs="Times New Roman"/>
          <w:i/>
          <w:iCs/>
          <w:sz w:val="24"/>
          <w:szCs w:val="24"/>
        </w:rPr>
        <w:t>People v Freeman</w:t>
      </w:r>
      <w:r w:rsidRPr="00FD1427">
        <w:rPr>
          <w:rFonts w:ascii="Times New Roman" w:hAnsi="Times New Roman" w:cs="Times New Roman"/>
          <w:sz w:val="24"/>
          <w:szCs w:val="24"/>
        </w:rPr>
        <w:t xml:space="preserve">, 9 NY2d 600, 605 [1961] </w:t>
      </w:r>
      <w:proofErr w:type="gramStart"/>
      <w:r w:rsidRPr="00FD1427">
        <w:rPr>
          <w:rFonts w:ascii="Times New Roman" w:hAnsi="Times New Roman" w:cs="Times New Roman"/>
          <w:sz w:val="24"/>
          <w:szCs w:val="24"/>
        </w:rPr>
        <w:lastRenderedPageBreak/>
        <w:t>[“</w:t>
      </w:r>
      <w:r w:rsidR="00D51EE8" w:rsidRPr="00FD1427">
        <w:rPr>
          <w:rFonts w:ascii="Times New Roman" w:hAnsi="Times New Roman" w:cs="Times New Roman"/>
          <w:sz w:val="24"/>
          <w:szCs w:val="24"/>
        </w:rPr>
        <w:t xml:space="preserve"> ‘</w:t>
      </w:r>
      <w:proofErr w:type="gramEnd"/>
      <w:r w:rsidRPr="00FD1427">
        <w:rPr>
          <w:rFonts w:ascii="Times New Roman" w:hAnsi="Times New Roman" w:cs="Times New Roman"/>
          <w:sz w:val="24"/>
          <w:szCs w:val="24"/>
        </w:rPr>
        <w:t>(A) witness</w:t>
      </w:r>
      <w:r w:rsidR="00FD1427">
        <w:rPr>
          <w:rFonts w:ascii="Times New Roman" w:hAnsi="Times New Roman" w:cs="Times New Roman"/>
          <w:sz w:val="24"/>
          <w:szCs w:val="24"/>
        </w:rPr>
        <w:t>’</w:t>
      </w:r>
      <w:r w:rsidRPr="00FD1427">
        <w:rPr>
          <w:rFonts w:ascii="Times New Roman" w:hAnsi="Times New Roman" w:cs="Times New Roman"/>
          <w:sz w:val="24"/>
          <w:szCs w:val="24"/>
        </w:rPr>
        <w:t xml:space="preserve"> own prior statement in which he has given a contrary version</w:t>
      </w:r>
      <w:r w:rsidR="00D51EE8" w:rsidRPr="00FD1427">
        <w:rPr>
          <w:rFonts w:ascii="Times New Roman" w:hAnsi="Times New Roman" w:cs="Times New Roman"/>
          <w:sz w:val="24"/>
          <w:szCs w:val="24"/>
        </w:rPr>
        <w:t>’</w:t>
      </w:r>
      <w:r w:rsidRPr="00FD1427">
        <w:rPr>
          <w:rFonts w:ascii="Times New Roman" w:hAnsi="Times New Roman" w:cs="Times New Roman"/>
          <w:sz w:val="24"/>
          <w:szCs w:val="24"/>
        </w:rPr>
        <w:t xml:space="preserve"> . . . may not be introduced as affirmative evidence”]). </w:t>
      </w:r>
    </w:p>
    <w:p w:rsidR="00E50465" w:rsidRPr="00FD1427" w:rsidRDefault="00E50465" w:rsidP="00FD1427">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E50465" w:rsidRPr="00FD1427" w:rsidRDefault="00E50465" w:rsidP="00FD1427">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FD1427">
        <w:rPr>
          <w:rFonts w:ascii="Times New Roman" w:hAnsi="Times New Roman" w:cs="Times New Roman"/>
          <w:sz w:val="24"/>
          <w:szCs w:val="24"/>
        </w:rPr>
        <w:tab/>
        <w:t xml:space="preserve">By statute, in a criminal proceeding a party may impeach </w:t>
      </w:r>
      <w:r w:rsidRPr="00FD1427">
        <w:rPr>
          <w:rFonts w:ascii="Times New Roman" w:hAnsi="Times New Roman" w:cs="Times New Roman"/>
          <w:i/>
          <w:iCs/>
          <w:sz w:val="24"/>
          <w:szCs w:val="24"/>
        </w:rPr>
        <w:t>its own witness</w:t>
      </w:r>
      <w:r w:rsidRPr="00FD1427">
        <w:rPr>
          <w:rFonts w:ascii="Times New Roman" w:hAnsi="Times New Roman" w:cs="Times New Roman"/>
          <w:sz w:val="24"/>
          <w:szCs w:val="24"/>
        </w:rPr>
        <w:t xml:space="preserve"> when that witness “gives testimony upon a material issue of the case which tends to disprove the position” of the party who called the witness by introducing “evidence that such witness has previously made either a written statement signed by him or an oral statement under oath contradictory to such testimony</w:t>
      </w:r>
      <w:r w:rsidR="00FD1427">
        <w:rPr>
          <w:rFonts w:ascii="Times New Roman" w:hAnsi="Times New Roman" w:cs="Times New Roman"/>
          <w:sz w:val="24"/>
          <w:szCs w:val="24"/>
        </w:rPr>
        <w:t>”</w:t>
      </w:r>
      <w:r w:rsidRPr="00FD1427">
        <w:rPr>
          <w:rFonts w:ascii="Times New Roman" w:hAnsi="Times New Roman" w:cs="Times New Roman"/>
          <w:sz w:val="24"/>
          <w:szCs w:val="24"/>
        </w:rPr>
        <w:t xml:space="preserve"> (CPL 60.35 [1]). </w:t>
      </w:r>
    </w:p>
    <w:sectPr w:rsidR="00E50465" w:rsidRPr="00FD1427" w:rsidSect="00FD1427">
      <w:footerReference w:type="default" r:id="rId7"/>
      <w:type w:val="continuous"/>
      <w:pgSz w:w="12240" w:h="15840"/>
      <w:pgMar w:top="1440" w:right="2160" w:bottom="144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B4" w:rsidRDefault="004555B4" w:rsidP="00FD1427">
      <w:r>
        <w:separator/>
      </w:r>
    </w:p>
  </w:endnote>
  <w:endnote w:type="continuationSeparator" w:id="0">
    <w:p w:rsidR="004555B4" w:rsidRDefault="004555B4" w:rsidP="00FD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27" w:rsidRDefault="00FD1427">
    <w:pPr>
      <w:pStyle w:val="Footer"/>
      <w:jc w:val="center"/>
      <w:rPr>
        <w:sz w:val="24"/>
        <w:szCs w:val="24"/>
      </w:rPr>
    </w:pPr>
  </w:p>
  <w:p w:rsidR="00FD1427" w:rsidRPr="00FD1427" w:rsidRDefault="00FD1427">
    <w:pPr>
      <w:pStyle w:val="Footer"/>
      <w:jc w:val="center"/>
      <w:rPr>
        <w:sz w:val="24"/>
        <w:szCs w:val="24"/>
      </w:rPr>
    </w:pPr>
    <w:r w:rsidRPr="00FD1427">
      <w:rPr>
        <w:sz w:val="24"/>
        <w:szCs w:val="24"/>
      </w:rPr>
      <w:fldChar w:fldCharType="begin"/>
    </w:r>
    <w:r w:rsidRPr="00FD1427">
      <w:rPr>
        <w:sz w:val="24"/>
        <w:szCs w:val="24"/>
      </w:rPr>
      <w:instrText xml:space="preserve"> PAGE   \* MERGEFORMAT </w:instrText>
    </w:r>
    <w:r w:rsidRPr="00FD1427">
      <w:rPr>
        <w:sz w:val="24"/>
        <w:szCs w:val="24"/>
      </w:rPr>
      <w:fldChar w:fldCharType="separate"/>
    </w:r>
    <w:r w:rsidR="00E801A6">
      <w:rPr>
        <w:noProof/>
        <w:sz w:val="24"/>
        <w:szCs w:val="24"/>
      </w:rPr>
      <w:t>2</w:t>
    </w:r>
    <w:r w:rsidRPr="00FD1427">
      <w:rPr>
        <w:sz w:val="24"/>
        <w:szCs w:val="24"/>
      </w:rPr>
      <w:fldChar w:fldCharType="end"/>
    </w:r>
  </w:p>
  <w:p w:rsidR="00FD1427" w:rsidRDefault="00FD1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B4" w:rsidRDefault="004555B4" w:rsidP="00FD1427">
      <w:r>
        <w:separator/>
      </w:r>
    </w:p>
  </w:footnote>
  <w:footnote w:type="continuationSeparator" w:id="0">
    <w:p w:rsidR="004555B4" w:rsidRDefault="004555B4" w:rsidP="00FD1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668"/>
    <w:multiLevelType w:val="multilevel"/>
    <w:tmpl w:val="7C3A526E"/>
    <w:lvl w:ilvl="0">
      <w:start w:val="8"/>
      <w:numFmt w:val="decimal"/>
      <w:lvlText w:val="%1"/>
      <w:legacy w:legacy="1" w:legacySpace="0" w:legacyIndent="0"/>
      <w:lvlJc w:val="left"/>
      <w:rPr>
        <w:rFonts w:cs="Times New Roman"/>
      </w:rPr>
    </w:lvl>
    <w:lvl w:ilvl="1">
      <w:start w:val="53"/>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58516B50"/>
    <w:multiLevelType w:val="multilevel"/>
    <w:tmpl w:val="3684EC86"/>
    <w:lvl w:ilvl="0">
      <w:start w:val="8"/>
      <w:numFmt w:val="decimal"/>
      <w:lvlText w:val="%1"/>
      <w:lvlJc w:val="left"/>
      <w:pPr>
        <w:ind w:left="420" w:hanging="420"/>
      </w:pPr>
      <w:rPr>
        <w:rFonts w:cs="Times New Roman" w:hint="default"/>
        <w:b w:val="0"/>
        <w:sz w:val="24"/>
      </w:rPr>
    </w:lvl>
    <w:lvl w:ilvl="1">
      <w:start w:val="53"/>
      <w:numFmt w:val="decimal"/>
      <w:lvlText w:val="%1.%2"/>
      <w:lvlJc w:val="left"/>
      <w:pPr>
        <w:ind w:left="420" w:hanging="420"/>
      </w:pPr>
      <w:rPr>
        <w:rFonts w:cs="Times New Roman" w:hint="default"/>
        <w:b w:val="0"/>
        <w:sz w:val="24"/>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1080" w:hanging="1080"/>
      </w:pPr>
      <w:rPr>
        <w:rFonts w:cs="Times New Roman" w:hint="default"/>
        <w:b w:val="0"/>
        <w:sz w:val="24"/>
      </w:rPr>
    </w:lvl>
    <w:lvl w:ilvl="4">
      <w:start w:val="1"/>
      <w:numFmt w:val="decimal"/>
      <w:lvlText w:val="%1.%2.%3.%4.%5"/>
      <w:lvlJc w:val="left"/>
      <w:pPr>
        <w:ind w:left="1080" w:hanging="1080"/>
      </w:pPr>
      <w:rPr>
        <w:rFonts w:cs="Times New Roman" w:hint="default"/>
        <w:b w:val="0"/>
        <w:sz w:val="24"/>
      </w:rPr>
    </w:lvl>
    <w:lvl w:ilvl="5">
      <w:start w:val="1"/>
      <w:numFmt w:val="decimal"/>
      <w:lvlText w:val="%1.%2.%3.%4.%5.%6"/>
      <w:lvlJc w:val="left"/>
      <w:pPr>
        <w:ind w:left="1440" w:hanging="1440"/>
      </w:pPr>
      <w:rPr>
        <w:rFonts w:cs="Times New Roman" w:hint="default"/>
        <w:b w:val="0"/>
        <w:sz w:val="24"/>
      </w:rPr>
    </w:lvl>
    <w:lvl w:ilvl="6">
      <w:start w:val="1"/>
      <w:numFmt w:val="decimal"/>
      <w:lvlText w:val="%1.%2.%3.%4.%5.%6.%7"/>
      <w:lvlJc w:val="left"/>
      <w:pPr>
        <w:ind w:left="1440" w:hanging="1440"/>
      </w:pPr>
      <w:rPr>
        <w:rFonts w:cs="Times New Roman" w:hint="default"/>
        <w:b w:val="0"/>
        <w:sz w:val="24"/>
      </w:rPr>
    </w:lvl>
    <w:lvl w:ilvl="7">
      <w:start w:val="1"/>
      <w:numFmt w:val="decimal"/>
      <w:lvlText w:val="%1.%2.%3.%4.%5.%6.%7.%8"/>
      <w:lvlJc w:val="left"/>
      <w:pPr>
        <w:ind w:left="1800" w:hanging="1800"/>
      </w:pPr>
      <w:rPr>
        <w:rFonts w:cs="Times New Roman" w:hint="default"/>
        <w:b w:val="0"/>
        <w:sz w:val="24"/>
      </w:rPr>
    </w:lvl>
    <w:lvl w:ilvl="8">
      <w:start w:val="1"/>
      <w:numFmt w:val="decimal"/>
      <w:lvlText w:val="%1.%2.%3.%4.%5.%6.%7.%8.%9"/>
      <w:lvlJc w:val="left"/>
      <w:pPr>
        <w:ind w:left="2160" w:hanging="2160"/>
      </w:pPr>
      <w:rPr>
        <w:rFonts w:cs="Times New Roman" w:hint="default"/>
        <w:b w:val="0"/>
        <w:sz w:val="24"/>
      </w:rPr>
    </w:lvl>
  </w:abstractNum>
  <w:abstractNum w:abstractNumId="2" w15:restartNumberingAfterBreak="0">
    <w:nsid w:val="5D571B90"/>
    <w:multiLevelType w:val="multilevel"/>
    <w:tmpl w:val="BEFA047A"/>
    <w:lvl w:ilvl="0">
      <w:start w:val="8"/>
      <w:numFmt w:val="decimal"/>
      <w:lvlText w:val="%1."/>
      <w:lvlJc w:val="left"/>
      <w:pPr>
        <w:ind w:left="480" w:hanging="480"/>
      </w:pPr>
      <w:rPr>
        <w:rFonts w:cs="Times New Roman" w:hint="default"/>
        <w:b w:val="0"/>
        <w:sz w:val="24"/>
      </w:rPr>
    </w:lvl>
    <w:lvl w:ilvl="1">
      <w:start w:val="53"/>
      <w:numFmt w:val="decimal"/>
      <w:lvlText w:val="%1.%2."/>
      <w:lvlJc w:val="left"/>
      <w:pPr>
        <w:ind w:left="720" w:hanging="720"/>
      </w:pPr>
      <w:rPr>
        <w:rFonts w:cs="Times New Roman" w:hint="default"/>
        <w:b w:val="0"/>
        <w:sz w:val="24"/>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1080" w:hanging="1080"/>
      </w:pPr>
      <w:rPr>
        <w:rFonts w:cs="Times New Roman" w:hint="default"/>
        <w:b w:val="0"/>
        <w:sz w:val="24"/>
      </w:rPr>
    </w:lvl>
    <w:lvl w:ilvl="4">
      <w:start w:val="1"/>
      <w:numFmt w:val="decimal"/>
      <w:lvlText w:val="%1.%2.%3.%4.%5."/>
      <w:lvlJc w:val="left"/>
      <w:pPr>
        <w:ind w:left="1080" w:hanging="1080"/>
      </w:pPr>
      <w:rPr>
        <w:rFonts w:cs="Times New Roman" w:hint="default"/>
        <w:b w:val="0"/>
        <w:sz w:val="24"/>
      </w:rPr>
    </w:lvl>
    <w:lvl w:ilvl="5">
      <w:start w:val="1"/>
      <w:numFmt w:val="decimal"/>
      <w:lvlText w:val="%1.%2.%3.%4.%5.%6."/>
      <w:lvlJc w:val="left"/>
      <w:pPr>
        <w:ind w:left="1440" w:hanging="1440"/>
      </w:pPr>
      <w:rPr>
        <w:rFonts w:cs="Times New Roman" w:hint="default"/>
        <w:b w:val="0"/>
        <w:sz w:val="24"/>
      </w:rPr>
    </w:lvl>
    <w:lvl w:ilvl="6">
      <w:start w:val="1"/>
      <w:numFmt w:val="decimal"/>
      <w:lvlText w:val="%1.%2.%3.%4.%5.%6.%7."/>
      <w:lvlJc w:val="left"/>
      <w:pPr>
        <w:ind w:left="1800" w:hanging="1800"/>
      </w:pPr>
      <w:rPr>
        <w:rFonts w:cs="Times New Roman" w:hint="default"/>
        <w:b w:val="0"/>
        <w:sz w:val="24"/>
      </w:rPr>
    </w:lvl>
    <w:lvl w:ilvl="7">
      <w:start w:val="1"/>
      <w:numFmt w:val="decimal"/>
      <w:lvlText w:val="%1.%2.%3.%4.%5.%6.%7.%8."/>
      <w:lvlJc w:val="left"/>
      <w:pPr>
        <w:ind w:left="1800" w:hanging="1800"/>
      </w:pPr>
      <w:rPr>
        <w:rFonts w:cs="Times New Roman" w:hint="default"/>
        <w:b w:val="0"/>
        <w:sz w:val="24"/>
      </w:rPr>
    </w:lvl>
    <w:lvl w:ilvl="8">
      <w:start w:val="1"/>
      <w:numFmt w:val="decimal"/>
      <w:lvlText w:val="%1.%2.%3.%4.%5.%6.%7.%8.%9."/>
      <w:lvlJc w:val="left"/>
      <w:pPr>
        <w:ind w:left="2160" w:hanging="2160"/>
      </w:pPr>
      <w:rPr>
        <w:rFonts w:cs="Times New Roman" w:hint="default"/>
        <w:b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92"/>
    <w:rsid w:val="000E6FD0"/>
    <w:rsid w:val="003300AF"/>
    <w:rsid w:val="004555B4"/>
    <w:rsid w:val="00682592"/>
    <w:rsid w:val="00D51EE8"/>
    <w:rsid w:val="00E50465"/>
    <w:rsid w:val="00E801A6"/>
    <w:rsid w:val="00FD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E0CFB"/>
  <w14:defaultImageDpi w14:val="0"/>
  <w15:docId w15:val="{5FDC5053-288F-44A2-BD1D-6C06F185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spacing w:after="0" w:line="240" w:lineRule="auto"/>
      <w:ind w:left="547" w:hanging="547"/>
      <w:jc w:val="both"/>
    </w:pPr>
    <w:rPr>
      <w:rFonts w:ascii="Times New Roman" w:hAnsi="Times New Roman"/>
      <w:sz w:val="24"/>
      <w:szCs w:val="24"/>
    </w:rPr>
  </w:style>
  <w:style w:type="paragraph" w:customStyle="1" w:styleId="L1-2">
    <w:name w:val="L1-2"/>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spacing w:after="0" w:line="240" w:lineRule="auto"/>
      <w:ind w:left="1080" w:hanging="108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spacing w:after="0" w:line="240" w:lineRule="auto"/>
      <w:ind w:left="1440" w:hanging="144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spacing w:after="0" w:line="240" w:lineRule="auto"/>
      <w:ind w:left="1440" w:hanging="144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spacing w:after="0" w:line="240" w:lineRule="auto"/>
      <w:ind w:left="1800" w:hanging="180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spacing w:after="0" w:line="240" w:lineRule="auto"/>
      <w:ind w:left="1800" w:hanging="180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customStyle="1" w:styleId="L1-9">
    <w:name w:val="L1-9"/>
    <w:uiPriority w:val="99"/>
    <w:pPr>
      <w:widowControl w:val="0"/>
      <w:autoSpaceDE w:val="0"/>
      <w:autoSpaceDN w:val="0"/>
      <w:adjustRightInd w:val="0"/>
      <w:spacing w:after="0" w:line="240" w:lineRule="auto"/>
      <w:ind w:left="2160" w:hanging="2160"/>
      <w:jc w:val="both"/>
    </w:pPr>
    <w:rPr>
      <w:rFonts w:ascii="Times New Roman" w:hAnsi="Times New Roman"/>
      <w:sz w:val="24"/>
      <w:szCs w:val="24"/>
    </w:rPr>
  </w:style>
  <w:style w:type="paragraph" w:styleId="Header">
    <w:name w:val="header"/>
    <w:basedOn w:val="Normal"/>
    <w:link w:val="HeaderChar"/>
    <w:uiPriority w:val="99"/>
    <w:unhideWhenUsed/>
    <w:rsid w:val="00FD1427"/>
    <w:pPr>
      <w:tabs>
        <w:tab w:val="center" w:pos="4680"/>
        <w:tab w:val="right" w:pos="9360"/>
      </w:tabs>
    </w:pPr>
  </w:style>
  <w:style w:type="character" w:customStyle="1" w:styleId="HeaderChar">
    <w:name w:val="Header Char"/>
    <w:basedOn w:val="DefaultParagraphFont"/>
    <w:link w:val="Header"/>
    <w:uiPriority w:val="99"/>
    <w:locked/>
    <w:rsid w:val="00FD1427"/>
    <w:rPr>
      <w:rFonts w:ascii="Times New Roman" w:hAnsi="Times New Roman" w:cs="Times New Roman"/>
      <w:sz w:val="20"/>
      <w:szCs w:val="20"/>
    </w:rPr>
  </w:style>
  <w:style w:type="paragraph" w:styleId="Footer">
    <w:name w:val="footer"/>
    <w:basedOn w:val="Normal"/>
    <w:link w:val="FooterChar"/>
    <w:uiPriority w:val="99"/>
    <w:unhideWhenUsed/>
    <w:rsid w:val="00FD1427"/>
    <w:pPr>
      <w:tabs>
        <w:tab w:val="center" w:pos="4680"/>
        <w:tab w:val="right" w:pos="9360"/>
      </w:tabs>
    </w:pPr>
  </w:style>
  <w:style w:type="character" w:customStyle="1" w:styleId="FooterChar">
    <w:name w:val="Footer Char"/>
    <w:basedOn w:val="DefaultParagraphFont"/>
    <w:link w:val="Footer"/>
    <w:uiPriority w:val="99"/>
    <w:locked/>
    <w:rsid w:val="00FD142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4</cp:revision>
  <dcterms:created xsi:type="dcterms:W3CDTF">2017-04-24T17:17:00Z</dcterms:created>
  <dcterms:modified xsi:type="dcterms:W3CDTF">2017-06-05T15:30:00Z</dcterms:modified>
</cp:coreProperties>
</file>